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487908" w14:paraId="6936442A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D0EAD5A" w14:textId="77777777" w:rsidR="00487908" w:rsidRDefault="00A7333A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671D46E9" w14:textId="77777777" w:rsidR="00487908" w:rsidRDefault="00A7333A">
            <w:pPr>
              <w:spacing w:after="0" w:line="240" w:lineRule="auto"/>
            </w:pPr>
            <w:r>
              <w:t>11935</w:t>
            </w:r>
          </w:p>
        </w:tc>
      </w:tr>
      <w:tr w:rsidR="00487908" w14:paraId="323B07E0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1E1F232" w14:textId="77777777" w:rsidR="00487908" w:rsidRDefault="00A7333A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34155A6E" w14:textId="77777777" w:rsidR="00487908" w:rsidRDefault="00A7333A">
            <w:pPr>
              <w:spacing w:after="0" w:line="240" w:lineRule="auto"/>
            </w:pPr>
            <w:r>
              <w:t>OSNOVNA ŠKOLA MARINA DRŽIĆA</w:t>
            </w:r>
          </w:p>
        </w:tc>
      </w:tr>
      <w:tr w:rsidR="00487908" w14:paraId="7CAFDACE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DA9F505" w14:textId="77777777" w:rsidR="00487908" w:rsidRDefault="00A7333A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1C296FB9" w14:textId="77777777" w:rsidR="00487908" w:rsidRDefault="00A7333A">
            <w:pPr>
              <w:spacing w:after="0" w:line="240" w:lineRule="auto"/>
            </w:pPr>
            <w:r>
              <w:t>31</w:t>
            </w:r>
          </w:p>
        </w:tc>
      </w:tr>
    </w:tbl>
    <w:p w14:paraId="0169FF6F" w14:textId="77777777" w:rsidR="00487908" w:rsidRDefault="00A7333A">
      <w:r>
        <w:br/>
      </w:r>
    </w:p>
    <w:p w14:paraId="5A78FCB2" w14:textId="77777777" w:rsidR="00487908" w:rsidRDefault="00A7333A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6E831B6B" w14:textId="77777777" w:rsidR="00487908" w:rsidRDefault="00A7333A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36BFCC9C" w14:textId="77777777" w:rsidR="00487908" w:rsidRDefault="00A7333A">
      <w:pPr>
        <w:spacing w:line="240" w:lineRule="auto"/>
        <w:jc w:val="center"/>
      </w:pPr>
      <w:r>
        <w:rPr>
          <w:b/>
          <w:sz w:val="28"/>
        </w:rPr>
        <w:t>I - III 2026.</w:t>
      </w:r>
    </w:p>
    <w:p w14:paraId="77195682" w14:textId="77777777" w:rsidR="00487908" w:rsidRDefault="00487908"/>
    <w:p w14:paraId="2218B144" w14:textId="77777777" w:rsidR="00487908" w:rsidRDefault="00A7333A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285530E2" w14:textId="77777777" w:rsidR="00487908" w:rsidRDefault="00A7333A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87908" w14:paraId="3BDBB4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4103E6" w14:textId="77777777" w:rsidR="00487908" w:rsidRDefault="00A733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3F786E" w14:textId="77777777" w:rsidR="00487908" w:rsidRDefault="00A733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FBE0B0" w14:textId="77777777" w:rsidR="00487908" w:rsidRDefault="00A733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E799C7" w14:textId="77777777" w:rsidR="00487908" w:rsidRDefault="00A733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0338F7" w14:textId="77777777" w:rsidR="00487908" w:rsidRDefault="00A733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AD351F" w14:textId="77777777" w:rsidR="00487908" w:rsidRDefault="00A733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87908" w14:paraId="6502F13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A7EB29" w14:textId="77777777" w:rsidR="00487908" w:rsidRDefault="00A733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F5763D" w14:textId="77777777" w:rsidR="00487908" w:rsidRDefault="00A733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C5BCD4" w14:textId="77777777" w:rsidR="00487908" w:rsidRDefault="00A733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E9F378" w14:textId="77777777" w:rsidR="00487908" w:rsidRDefault="00A733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650.154,45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2E365B" w14:textId="77777777" w:rsidR="00487908" w:rsidRDefault="00A733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794.128,14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E83341" w14:textId="77777777" w:rsidR="00487908" w:rsidRDefault="00A733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122,1</w:t>
            </w:r>
          </w:p>
        </w:tc>
      </w:tr>
      <w:tr w:rsidR="00487908" w14:paraId="5054B78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EBE7ED" w14:textId="77777777" w:rsidR="00487908" w:rsidRDefault="00A733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2D43FE" w14:textId="77777777" w:rsidR="00487908" w:rsidRDefault="00A733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963966" w14:textId="77777777" w:rsidR="00487908" w:rsidRDefault="00A733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24B488" w14:textId="77777777" w:rsidR="00487908" w:rsidRDefault="00A733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871.513,03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2E7AE9" w14:textId="77777777" w:rsidR="00487908" w:rsidRDefault="00A733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760.603,16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2DEFC8" w14:textId="77777777" w:rsidR="00487908" w:rsidRDefault="00A733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87,3</w:t>
            </w:r>
          </w:p>
        </w:tc>
      </w:tr>
      <w:tr w:rsidR="00487908" w14:paraId="36002DE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112748" w14:textId="77777777" w:rsidR="00487908" w:rsidRDefault="0048790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1CD74F" w14:textId="77777777" w:rsidR="00487908" w:rsidRDefault="00A7333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7CEFF4" w14:textId="77777777" w:rsidR="00487908" w:rsidRDefault="00A7333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0E4008" w14:textId="77777777" w:rsidR="00487908" w:rsidRDefault="00A7333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BB24F6" w14:textId="77777777" w:rsidR="00487908" w:rsidRDefault="00A7333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33.524,98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85B1BB" w14:textId="77777777" w:rsidR="00487908" w:rsidRDefault="00A7333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87908" w14:paraId="54B0157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ED97A9" w14:textId="77777777" w:rsidR="00487908" w:rsidRDefault="00A733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E016B3" w14:textId="77777777" w:rsidR="00487908" w:rsidRDefault="00A733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D37E82" w14:textId="77777777" w:rsidR="00487908" w:rsidRDefault="00A733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A924E2" w14:textId="77777777" w:rsidR="00487908" w:rsidRDefault="00A733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F8BBE7" w14:textId="77777777" w:rsidR="00487908" w:rsidRDefault="00A733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4D89E6" w14:textId="77777777" w:rsidR="00487908" w:rsidRDefault="00A733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87908" w14:paraId="729341D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3573EB" w14:textId="77777777" w:rsidR="00487908" w:rsidRDefault="00A733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ACBC7C" w14:textId="77777777" w:rsidR="00487908" w:rsidRDefault="00A733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nefinancijske imovine (šifre </w:t>
            </w:r>
            <w:r>
              <w:rPr>
                <w:sz w:val="18"/>
              </w:rPr>
              <w:t>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C7D125" w14:textId="77777777" w:rsidR="00487908" w:rsidRDefault="00A733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AF38BB" w14:textId="77777777" w:rsidR="00487908" w:rsidRDefault="00A733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426,60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2031EE" w14:textId="77777777" w:rsidR="00487908" w:rsidRDefault="00A733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8.461,31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2842B1" w14:textId="77777777" w:rsidR="00487908" w:rsidRDefault="00A733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1983,4</w:t>
            </w:r>
          </w:p>
        </w:tc>
      </w:tr>
      <w:tr w:rsidR="00487908" w14:paraId="281F35C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5292A8" w14:textId="77777777" w:rsidR="00487908" w:rsidRDefault="0048790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D0E2B6" w14:textId="77777777" w:rsidR="00487908" w:rsidRDefault="00A7333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965C5A" w14:textId="77777777" w:rsidR="00487908" w:rsidRDefault="00A7333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61A278" w14:textId="77777777" w:rsidR="00487908" w:rsidRDefault="00A7333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426,60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A28ACB" w14:textId="77777777" w:rsidR="00487908" w:rsidRDefault="00A7333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8.461,31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B371BD" w14:textId="77777777" w:rsidR="00487908" w:rsidRDefault="00A7333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1983,4</w:t>
            </w:r>
          </w:p>
        </w:tc>
      </w:tr>
      <w:tr w:rsidR="00487908" w14:paraId="5E2E9EC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5DFBA3" w14:textId="77777777" w:rsidR="00487908" w:rsidRDefault="00A733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8B83D7" w14:textId="77777777" w:rsidR="00487908" w:rsidRDefault="00A733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4DB0F6" w14:textId="77777777" w:rsidR="00487908" w:rsidRDefault="00A733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8AAFC0" w14:textId="77777777" w:rsidR="00487908" w:rsidRDefault="00A733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851F2E" w14:textId="77777777" w:rsidR="00487908" w:rsidRDefault="00A733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0A1E06" w14:textId="77777777" w:rsidR="00487908" w:rsidRDefault="00A733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87908" w14:paraId="341BB09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8D0C09" w14:textId="77777777" w:rsidR="00487908" w:rsidRDefault="00A733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137867" w14:textId="77777777" w:rsidR="00487908" w:rsidRDefault="00A733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</w:t>
            </w:r>
            <w:r>
              <w:rPr>
                <w:sz w:val="18"/>
              </w:rPr>
              <w:t>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FEFE07" w14:textId="77777777" w:rsidR="00487908" w:rsidRDefault="00A733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6440FE" w14:textId="77777777" w:rsidR="00487908" w:rsidRDefault="00A733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1DF9DB" w14:textId="77777777" w:rsidR="00487908" w:rsidRDefault="00A733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073F7E" w14:textId="77777777" w:rsidR="00487908" w:rsidRDefault="00A733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87908" w14:paraId="7858C0E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529FAC" w14:textId="77777777" w:rsidR="00487908" w:rsidRDefault="0048790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C444E6" w14:textId="77777777" w:rsidR="00487908" w:rsidRDefault="00A7333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942D55" w14:textId="77777777" w:rsidR="00487908" w:rsidRDefault="00A7333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9BE06E" w14:textId="77777777" w:rsidR="00487908" w:rsidRDefault="00A7333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FDD1E5" w14:textId="77777777" w:rsidR="00487908" w:rsidRDefault="00A7333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6A3AA6" w14:textId="77777777" w:rsidR="00487908" w:rsidRDefault="00A7333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87908" w14:paraId="2B29DC5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ED4C82" w14:textId="77777777" w:rsidR="00487908" w:rsidRDefault="0048790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9D1B53" w14:textId="77777777" w:rsidR="00487908" w:rsidRDefault="00A7333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2E21FC" w14:textId="77777777" w:rsidR="00487908" w:rsidRDefault="00A7333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DA8A6D" w14:textId="77777777" w:rsidR="00487908" w:rsidRDefault="00A7333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FD552F" w14:textId="77777777" w:rsidR="00487908" w:rsidRDefault="00A7333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25.063,67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B9C0E6" w14:textId="77777777" w:rsidR="00487908" w:rsidRDefault="00A7333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7FF6FCED" w14:textId="77777777" w:rsidR="00487908" w:rsidRDefault="00487908">
      <w:pPr>
        <w:spacing w:after="0"/>
      </w:pPr>
    </w:p>
    <w:p w14:paraId="41520297" w14:textId="77777777" w:rsidR="00487908" w:rsidRDefault="00A7333A" w:rsidP="00A7333A">
      <w:pPr>
        <w:jc w:val="both"/>
      </w:pPr>
      <w:r>
        <w:t>U izvještajnom razdoblju tekuće godine ostvareni su poslovni prihodi u iznosu od 794.128,14 €, dok su rashodi poslovanja iznosili 760.603,16 €. Rashodi za nabavu nefinancijske imovine iznose 8.461,31 €. Rezultat razdoblja je višak u iznosu 25.063,67 €. U p</w:t>
      </w:r>
      <w:r>
        <w:t xml:space="preserve">rvom kvartalu 2026. ukupni prihodi su bili veći za 154 tis €, a rashodi manji za 111 tis €.  Razlika po temeljnim </w:t>
      </w:r>
      <w:r>
        <w:lastRenderedPageBreak/>
        <w:t>računovodstvenim kategorijama proizlazi prvenstveno iz primjene novog Pravilnika o proračunskom računovodstvu i Računskom planu, koji je na sn</w:t>
      </w:r>
      <w:r>
        <w:t>azi od 30. prosinca 2023. godine, dok je njegova stvarna primjena u knjigovodstvenim evidencijama započela 1. siječnja 2025. godine. Ključna promjena odnosi se na ukidanje podskupine računa 193 – kontinuirani rashodi budućih razdoblja. Sukladno članku 233.</w:t>
      </w:r>
      <w:r>
        <w:t xml:space="preserve"> Pravilnika, od 1. siječnja 2025. kontinuirani rashodi prenijeli su se na odgovarajuće račune razreda 3 – rashodi poslovanja, čime je izmijenjen dosadašnji način knjiženja i priznavanja troškova. Naša je škola ranije kontinuirane rashode razgraničavala, do</w:t>
      </w:r>
      <w:r>
        <w:t>k su ove godine rashodi prikazani u većem broju stavki unutar tromjesečnih, polugodišnjih i godišnjih izvještaja. Istodobno, prihodi za njihovo financiranje i dalje se prikazuju u dvanaest mjesečnih uplata, što dovodi do nesklada – u izvještajima je eviden</w:t>
      </w:r>
      <w:r>
        <w:t>tirano trinaest mjeseci rashoda, a samo dvanaest mjeseci prihoda. Ova razlika ne predstavlja stvarni manjak sredstava, već privremeni učinak prijelaznog računovodstvenog razdoblja. Nadalje, promjene u strukturi rashoda i prihoda djelomično su rezultat novo</w:t>
      </w:r>
      <w:r>
        <w:t>g modela poslovanja, prema kojem se većina transakcija provodi izravno putem Riznice Grada Dubrovnika, dok se više ne posluje po akontacijskom modelu kao ranijih godina.</w:t>
      </w:r>
    </w:p>
    <w:p w14:paraId="023A2351" w14:textId="77777777" w:rsidR="00487908" w:rsidRDefault="00A7333A" w:rsidP="00A7333A">
      <w:pPr>
        <w:jc w:val="both"/>
      </w:pPr>
      <w:r>
        <w:br/>
      </w:r>
    </w:p>
    <w:p w14:paraId="0B698058" w14:textId="77777777" w:rsidR="00487908" w:rsidRDefault="00A7333A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87908" w14:paraId="322D64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6D5FFF" w14:textId="77777777" w:rsidR="00487908" w:rsidRDefault="00A733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08BB08" w14:textId="77777777" w:rsidR="00487908" w:rsidRDefault="00A733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FBE0B1" w14:textId="77777777" w:rsidR="00487908" w:rsidRDefault="00A733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E7EEBF" w14:textId="77777777" w:rsidR="00487908" w:rsidRDefault="00A733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</w:t>
            </w:r>
            <w:r>
              <w:rPr>
                <w:b/>
                <w:sz w:val="18"/>
              </w:rPr>
              <w:t xml:space="preserve">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BEE662" w14:textId="77777777" w:rsidR="00487908" w:rsidRDefault="00A733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992500" w14:textId="77777777" w:rsidR="00487908" w:rsidRDefault="00A733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87908" w14:paraId="7826140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6E3FE2" w14:textId="77777777" w:rsidR="00487908" w:rsidRDefault="00A733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958D61" w14:textId="77777777" w:rsidR="00487908" w:rsidRDefault="00A733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5D98A1" w14:textId="77777777" w:rsidR="00487908" w:rsidRDefault="00A733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B542E4" w14:textId="77777777" w:rsidR="00487908" w:rsidRDefault="00A733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650.154,45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D3D59B" w14:textId="77777777" w:rsidR="00487908" w:rsidRDefault="00A733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794.128,14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B67EAA" w14:textId="77777777" w:rsidR="00487908" w:rsidRDefault="00A733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122,1</w:t>
            </w:r>
          </w:p>
        </w:tc>
      </w:tr>
    </w:tbl>
    <w:p w14:paraId="67DC1DD2" w14:textId="77777777" w:rsidR="00487908" w:rsidRDefault="00487908">
      <w:pPr>
        <w:spacing w:after="0"/>
      </w:pPr>
    </w:p>
    <w:p w14:paraId="0270FF19" w14:textId="674D9E67" w:rsidR="00487908" w:rsidRDefault="00A7333A" w:rsidP="00A7333A">
      <w:pPr>
        <w:jc w:val="both"/>
      </w:pPr>
      <w:r>
        <w:t>Ukupni prihodi poslovanja u prvom kvartalu 2026. veći su za 144 tisuće eura u odnosu na isto razdoblje 2025. godine. Osnovna škola Marina Držića od 1. siječnja 2025. posluje u sustavu Riznice, što je izravno utjecalo na vremensku dimenziju priznavanja prih</w:t>
      </w:r>
      <w:r>
        <w:t>oda. Priznavanje prihoda temeljem isplaćenih plaća sada se vrši po trenutku isplate. Tako su prihodi vezani uz plaću za prosinac 2025. priznati u 2026. godini, dok su prihodi za plaću za prosinac 2024. bili priznati u 2024. godini. Isti princip primjenjuje</w:t>
      </w:r>
      <w:r>
        <w:t xml:space="preserve"> se i na priznavanje prihoda po isplati materijalnih troškova. Ulaskom u sustav Riznice prihodi se priznaju po isplati obveza, dok su se do 31. prosinca 2024. priznavali temeljem primljenih akontacija. Drugim riječima, prihodi vezani uz materijalne obveze </w:t>
      </w:r>
      <w:r>
        <w:t xml:space="preserve">za prosinac 2025. priznati su u siječnju 2026., dok su prihodi za materijalne obveze za prosinac 2024. bili priznati u prosincu 2024. Osim metodoloških razlika u priznavanju prihoda, na porast ukupnih prihoda utjecao je i niz dodatnih čimbenika: povećanje </w:t>
      </w:r>
      <w:r>
        <w:t xml:space="preserve">broja djelatnika na projektu Asistenti u nastavi, povećanje satnice djelatnika uključenih u isti projekt,povećanje osnovice za djelatnike </w:t>
      </w:r>
      <w:r>
        <w:t>za</w:t>
      </w:r>
      <w:r>
        <w:t xml:space="preserve">poslene </w:t>
      </w:r>
      <w:r>
        <w:t>n</w:t>
      </w:r>
      <w:r>
        <w:t xml:space="preserve">a </w:t>
      </w:r>
      <w:r>
        <w:t>teret</w:t>
      </w:r>
      <w:r>
        <w:t xml:space="preserve">MZOM-a, </w:t>
      </w:r>
      <w:r>
        <w:t>uvođenje nove usluge toplog obroka u školskoj godini 2025./2026., što je dodatno povećalo p</w:t>
      </w:r>
      <w:r>
        <w:t>rihode.</w:t>
      </w:r>
    </w:p>
    <w:p w14:paraId="43F71495" w14:textId="77777777" w:rsidR="00487908" w:rsidRDefault="00A7333A">
      <w:r>
        <w:t> </w:t>
      </w:r>
    </w:p>
    <w:p w14:paraId="78DD824D" w14:textId="77777777" w:rsidR="00487908" w:rsidRDefault="00487908"/>
    <w:p w14:paraId="64DCC393" w14:textId="77777777" w:rsidR="00487908" w:rsidRDefault="00A7333A">
      <w:pPr>
        <w:keepNext/>
        <w:spacing w:line="240" w:lineRule="auto"/>
        <w:jc w:val="center"/>
      </w:pPr>
      <w:r>
        <w:rPr>
          <w:sz w:val="28"/>
        </w:rPr>
        <w:lastRenderedPageBreak/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87908" w14:paraId="2EB060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47C522" w14:textId="77777777" w:rsidR="00487908" w:rsidRDefault="00A733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625DF3" w14:textId="77777777" w:rsidR="00487908" w:rsidRDefault="00A733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BB20BF" w14:textId="77777777" w:rsidR="00487908" w:rsidRDefault="00A733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E427AF" w14:textId="77777777" w:rsidR="00487908" w:rsidRDefault="00A733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D35EC8" w14:textId="77777777" w:rsidR="00487908" w:rsidRDefault="00A733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E80263" w14:textId="77777777" w:rsidR="00487908" w:rsidRDefault="00A733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87908" w14:paraId="09A6B19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7C0528" w14:textId="77777777" w:rsidR="00487908" w:rsidRDefault="00A733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DEA8D9" w14:textId="77777777" w:rsidR="00487908" w:rsidRDefault="00A733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upravnih i administrativnih pristojbi, pristojbi po posebnim </w:t>
            </w:r>
            <w:r>
              <w:rPr>
                <w:sz w:val="18"/>
              </w:rPr>
              <w:t>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005416" w14:textId="77777777" w:rsidR="00487908" w:rsidRDefault="00A733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A6C63C" w14:textId="77777777" w:rsidR="00487908" w:rsidRDefault="00A733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12.700,66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0F910A" w14:textId="77777777" w:rsidR="00487908" w:rsidRDefault="00A733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29.916,59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3BEAAD" w14:textId="77777777" w:rsidR="00487908" w:rsidRDefault="00A733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235,6</w:t>
            </w:r>
          </w:p>
        </w:tc>
      </w:tr>
    </w:tbl>
    <w:p w14:paraId="5AF88171" w14:textId="77777777" w:rsidR="00487908" w:rsidRDefault="00487908">
      <w:pPr>
        <w:spacing w:after="0"/>
      </w:pPr>
    </w:p>
    <w:p w14:paraId="0A8AA8BE" w14:textId="77777777" w:rsidR="00487908" w:rsidRDefault="00A7333A" w:rsidP="00A7333A">
      <w:pPr>
        <w:jc w:val="both"/>
      </w:pPr>
      <w:r>
        <w:t>Početkom školske godine 2025./2026. uvedena je nova usluga toplog obroka za učenike trećih i četvrtih razreda, koju trenutno koristi 43 učenika. Zbog toga su prihodi na ovoj poziciji značajno veći u odnosu na isto razdoblje prethodne godine.</w:t>
      </w:r>
    </w:p>
    <w:p w14:paraId="04782897" w14:textId="77777777" w:rsidR="00487908" w:rsidRDefault="00487908"/>
    <w:p w14:paraId="10B9D8BD" w14:textId="77777777" w:rsidR="00487908" w:rsidRDefault="00A7333A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87908" w14:paraId="48C2CE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BC80C2" w14:textId="77777777" w:rsidR="00487908" w:rsidRDefault="00A733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</w:t>
            </w:r>
            <w:r>
              <w:rPr>
                <w:b/>
                <w:sz w:val="18"/>
              </w:rPr>
              <w:t>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A471DD" w14:textId="77777777" w:rsidR="00487908" w:rsidRDefault="00A733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B0E787" w14:textId="77777777" w:rsidR="00487908" w:rsidRDefault="00A733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AF0161" w14:textId="77777777" w:rsidR="00487908" w:rsidRDefault="00A733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D4D031" w14:textId="77777777" w:rsidR="00487908" w:rsidRDefault="00A733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439548" w14:textId="77777777" w:rsidR="00487908" w:rsidRDefault="00A733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87908" w14:paraId="2FA5B34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84CB84" w14:textId="77777777" w:rsidR="00487908" w:rsidRDefault="00A733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806B82" w14:textId="77777777" w:rsidR="00487908" w:rsidRDefault="00A733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prodaje proizvoda i robe te pruženih usluga, prihodi od donacija te povrati po </w:t>
            </w:r>
            <w:r>
              <w:rPr>
                <w:sz w:val="18"/>
              </w:rPr>
              <w:t>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A92B13" w14:textId="77777777" w:rsidR="00487908" w:rsidRDefault="00A733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E6515E" w14:textId="77777777" w:rsidR="00487908" w:rsidRDefault="00A733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4.197,50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CC5857" w14:textId="77777777" w:rsidR="00487908" w:rsidRDefault="00A733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4.672,50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65EF9A" w14:textId="77777777" w:rsidR="00487908" w:rsidRDefault="00A733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111,3</w:t>
            </w:r>
          </w:p>
        </w:tc>
      </w:tr>
    </w:tbl>
    <w:p w14:paraId="02DC47F9" w14:textId="77777777" w:rsidR="00487908" w:rsidRDefault="00487908">
      <w:pPr>
        <w:spacing w:after="0"/>
      </w:pPr>
    </w:p>
    <w:p w14:paraId="57C1DB5F" w14:textId="77777777" w:rsidR="00487908" w:rsidRDefault="00A7333A">
      <w:r>
        <w:t>Prihodi se odnose na najam sportske dvorane, a uočena razlika rezultat je različite dinamike naplate potraživanja u odnosu na isto razdoblje prethodne godine.</w:t>
      </w:r>
    </w:p>
    <w:p w14:paraId="4309A308" w14:textId="77777777" w:rsidR="00487908" w:rsidRDefault="00487908"/>
    <w:p w14:paraId="63C03A61" w14:textId="77777777" w:rsidR="00487908" w:rsidRDefault="00A7333A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87908" w14:paraId="2D791D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8C7839" w14:textId="77777777" w:rsidR="00487908" w:rsidRDefault="00A733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ED0C82" w14:textId="77777777" w:rsidR="00487908" w:rsidRDefault="00A733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059CFD" w14:textId="77777777" w:rsidR="00487908" w:rsidRDefault="00A733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644D81" w14:textId="77777777" w:rsidR="00487908" w:rsidRDefault="00A733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</w:t>
            </w:r>
            <w:r>
              <w:rPr>
                <w:b/>
                <w:sz w:val="18"/>
              </w:rPr>
              <w:t>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FE4587" w14:textId="77777777" w:rsidR="00487908" w:rsidRDefault="00A733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BE02AA" w14:textId="77777777" w:rsidR="00487908" w:rsidRDefault="00A733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87908" w14:paraId="319B629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6FBCB6" w14:textId="77777777" w:rsidR="00487908" w:rsidRDefault="00A733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A749B7" w14:textId="77777777" w:rsidR="00487908" w:rsidRDefault="00A733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C3C2C6" w14:textId="77777777" w:rsidR="00487908" w:rsidRDefault="00A733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142934" w14:textId="77777777" w:rsidR="00487908" w:rsidRDefault="00A733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100.113,71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7D92B9" w14:textId="77777777" w:rsidR="00487908" w:rsidRDefault="00A733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209.088,77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728D16" w14:textId="77777777" w:rsidR="00487908" w:rsidRDefault="00A733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208,9</w:t>
            </w:r>
          </w:p>
        </w:tc>
      </w:tr>
    </w:tbl>
    <w:p w14:paraId="31219C96" w14:textId="77777777" w:rsidR="00487908" w:rsidRDefault="00487908">
      <w:pPr>
        <w:spacing w:after="0"/>
      </w:pPr>
    </w:p>
    <w:p w14:paraId="7180F1A4" w14:textId="77777777" w:rsidR="00487908" w:rsidRDefault="00A7333A" w:rsidP="00A7333A">
      <w:pPr>
        <w:jc w:val="both"/>
      </w:pPr>
      <w:r>
        <w:t>Ukupni prihodi poslovanja u prvom kvartalu 2026. veći su za 109 tisuće eura u odnosu na isto razdoblje 2025. godine. Osnovna škola Marina Držića od 1. siječnja 2025. posluje u sustavu Riznice, što je izravno utjecalo na vremensku dimenziju priznavanja prih</w:t>
      </w:r>
      <w:r>
        <w:t>oda. Priznavanje prihoda temeljem isplaćenih plaća za projekte koje financira nadrležni proračun (Grad Dubrovnik) sada se vrši po trenutku isplate. Tako su prihodi vezani uz plaću za prosinac 2025. priznati u 2026. godini, dok su prihodi za plaću za prosin</w:t>
      </w:r>
      <w:r>
        <w:t>ac 2024. bili priznati u 2024. godini. Isti princip primjenjuje se i na priznavanje prihoda po isplati materijalnih troškova. Ulaskom u sustav Riznice prihodi se priznaju po isplati obveza, dok su se do 31. prosinca 2024. priznavali temeljem primljenih ako</w:t>
      </w:r>
      <w:r>
        <w:t>ntacija koje bi škola primila početkom mjeseca za naredno obračunsko razdoblje. Drugim riječima, prihodi vezani uz materijalne obveze za prosinac 2025. priznati su u siječnju 2026., dok su prihodi za materijalne obveze za prosinac 2024. bili priznati u pro</w:t>
      </w:r>
      <w:r>
        <w:t xml:space="preserve">sincu 2024. </w:t>
      </w:r>
      <w:r>
        <w:lastRenderedPageBreak/>
        <w:t>Svakako je prisutan značajniji obujem obveza u tekućem kvartalu zbog općeg porasta cijena usluga i podmirenje obveza za investicijske projekte koje financira Grad Dubrovnik.</w:t>
      </w:r>
    </w:p>
    <w:p w14:paraId="7AC327E5" w14:textId="77777777" w:rsidR="00487908" w:rsidRDefault="00487908"/>
    <w:p w14:paraId="2BDE7E32" w14:textId="77777777" w:rsidR="00487908" w:rsidRDefault="00A7333A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87908" w14:paraId="7FA082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9BFD56" w14:textId="77777777" w:rsidR="00487908" w:rsidRDefault="00A733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52966C" w14:textId="77777777" w:rsidR="00487908" w:rsidRDefault="00A733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618055" w14:textId="77777777" w:rsidR="00487908" w:rsidRDefault="00A733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850137" w14:textId="77777777" w:rsidR="00487908" w:rsidRDefault="00A733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8C67A1" w14:textId="77777777" w:rsidR="00487908" w:rsidRDefault="00A733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7084B9" w14:textId="77777777" w:rsidR="00487908" w:rsidRDefault="00A7333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87908" w14:paraId="78797B9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CE7004" w14:textId="77777777" w:rsidR="00487908" w:rsidRDefault="00A733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AC1B33" w14:textId="77777777" w:rsidR="00487908" w:rsidRDefault="00A733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9C53E2" w14:textId="77777777" w:rsidR="00487908" w:rsidRDefault="00A7333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4AF593" w14:textId="77777777" w:rsidR="00487908" w:rsidRDefault="00A733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871.513,03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BBAE2A" w14:textId="77777777" w:rsidR="00487908" w:rsidRDefault="00A733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760.603,16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157013" w14:textId="77777777" w:rsidR="00487908" w:rsidRDefault="00A7333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87,3</w:t>
            </w:r>
          </w:p>
        </w:tc>
      </w:tr>
    </w:tbl>
    <w:p w14:paraId="678839C2" w14:textId="77777777" w:rsidR="00487908" w:rsidRDefault="00487908">
      <w:pPr>
        <w:spacing w:after="0"/>
      </w:pPr>
    </w:p>
    <w:p w14:paraId="701CADE7" w14:textId="77777777" w:rsidR="00487908" w:rsidRDefault="00A7333A" w:rsidP="00A7333A">
      <w:pPr>
        <w:jc w:val="both"/>
      </w:pPr>
      <w:r>
        <w:t>Ukupni rashodi u prvom kvartalu 2026. manji su za 111 tis € u odnosu na isti kvartal prošle godine. Ovaj smanjenje proizlazi prvenstveno iz primjene novog Pravilnika o proračunskom računovodstvu i Računskom planu, koji je na snazi od 30. prosinca 2023. god</w:t>
      </w:r>
      <w:r>
        <w:t>ine, dok je njegova stvarna primjena u knjigovodstvenim evidencijama započela 1. siječnja 2025. godine. Ključna promjena odnosi se na ukidanje podskupine računa 193 – kontinuirani rashodi budućih razdoblja. Sukladno članku 233. Pravilnika, od 1. siječnja 2</w:t>
      </w:r>
      <w:r>
        <w:t>025. kontinuirani rashodi prenose se na odgovarajuće račune razreda 3 – rashodi poslovanja, čime je izmijenjen dosadašnji način knjiženja i priznavanja troškova. Drugim riječima, prvi kvartal 2025. uključuje plaće 12/2024-03/2025, dok u ovom kvartalu rasho</w:t>
      </w:r>
      <w:r>
        <w:t>di za zaposlene se odnosu na period 01-03/2026.</w:t>
      </w:r>
    </w:p>
    <w:p w14:paraId="17485C60" w14:textId="77777777" w:rsidR="00487908" w:rsidRDefault="00487908" w:rsidP="00A7333A">
      <w:pPr>
        <w:jc w:val="both"/>
      </w:pPr>
    </w:p>
    <w:p w14:paraId="4E0C8041" w14:textId="77777777" w:rsidR="00487908" w:rsidRDefault="00A7333A" w:rsidP="00A7333A">
      <w:pPr>
        <w:keepNext/>
        <w:spacing w:line="240" w:lineRule="auto"/>
        <w:jc w:val="both"/>
      </w:pPr>
      <w:r>
        <w:rPr>
          <w:sz w:val="28"/>
        </w:rPr>
        <w:t>Bilješka 7.</w:t>
      </w:r>
    </w:p>
    <w:p w14:paraId="50A10BFD" w14:textId="77777777" w:rsidR="00487908" w:rsidRDefault="00A7333A" w:rsidP="00A7333A">
      <w:pPr>
        <w:spacing w:line="240" w:lineRule="auto"/>
        <w:jc w:val="both"/>
      </w:pPr>
      <w:r>
        <w:rPr>
          <w:b/>
        </w:rPr>
        <w:t>EU izvještaj</w:t>
      </w:r>
    </w:p>
    <w:p w14:paraId="4D55C299" w14:textId="77777777" w:rsidR="00487908" w:rsidRDefault="00A7333A" w:rsidP="00A7333A">
      <w:pPr>
        <w:jc w:val="both"/>
      </w:pPr>
      <w:r>
        <w:t>EU izvještaj za prvi kvartal 2026. nema podatke za prvi kvartal 2025. jer navedeni izvještaj nije bio u primjeni prošle godine. Podaci u izvještaju se odnose na dva projekta: shema š</w:t>
      </w:r>
      <w:r>
        <w:t>kolskog voća (5.56511) i asistenti u nastavi (5.56111).</w:t>
      </w:r>
    </w:p>
    <w:p w14:paraId="6E1751AE" w14:textId="77777777" w:rsidR="00487908" w:rsidRDefault="00487908"/>
    <w:sectPr w:rsidR="0048790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908"/>
    <w:rsid w:val="00487908"/>
    <w:rsid w:val="00A7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76905"/>
  <w15:docId w15:val="{39D4D39F-20C9-4051-AA64-2B2030621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73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33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1234</Words>
  <Characters>7037</Characters>
  <Application>Microsoft Office Word</Application>
  <DocSecurity>0</DocSecurity>
  <Lines>58</Lines>
  <Paragraphs>16</Paragraphs>
  <ScaleCrop>false</ScaleCrop>
  <Company/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Korisnik</cp:lastModifiedBy>
  <cp:revision>2</cp:revision>
  <cp:lastPrinted>2026-04-17T06:20:00Z</cp:lastPrinted>
  <dcterms:created xsi:type="dcterms:W3CDTF">2026-04-17T06:19:00Z</dcterms:created>
  <dcterms:modified xsi:type="dcterms:W3CDTF">2026-04-17T06:20:00Z</dcterms:modified>
</cp:coreProperties>
</file>